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240" w:line="261.8181818181818" w:lineRule="auto"/>
        <w:jc w:val="center"/>
        <w:rPr/>
      </w:pPr>
      <w:bookmarkStart w:colFirst="0" w:colLast="0" w:name="_ij5pypri8mwh" w:id="0"/>
      <w:bookmarkEnd w:id="0"/>
      <w:r w:rsidDel="00000000" w:rsidR="00000000" w:rsidRPr="00000000">
        <w:rPr>
          <w:rtl w:val="0"/>
        </w:rPr>
        <w:t xml:space="preserve">Типы власти и стратегии изменений</w:t>
      </w:r>
    </w:p>
    <w:tbl>
      <w:tblPr>
        <w:tblStyle w:val="Table1"/>
        <w:tblW w:w="15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875"/>
        <w:gridCol w:w="3000"/>
        <w:gridCol w:w="1830"/>
        <w:gridCol w:w="2475"/>
        <w:gridCol w:w="4770"/>
        <w:tblGridChange w:id="0">
          <w:tblGrid>
            <w:gridCol w:w="1755"/>
            <w:gridCol w:w="1875"/>
            <w:gridCol w:w="3000"/>
            <w:gridCol w:w="1830"/>
            <w:gridCol w:w="2475"/>
            <w:gridCol w:w="4770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before="0" w:lineRule="auto"/>
              <w:ind w:right="22.3228346456691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Тип</w:t>
            </w:r>
          </w:p>
          <w:p w:rsidR="00000000" w:rsidDel="00000000" w:rsidP="00000000" w:rsidRDefault="00000000" w:rsidRPr="00000000" w14:paraId="00000003">
            <w:pPr>
              <w:spacing w:before="0" w:lineRule="auto"/>
              <w:ind w:right="22.3228346456691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власти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before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Цель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before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Возможности (триггеры) для изменений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before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Стратегии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Ограничения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4c7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before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Методы</w:t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before="40" w:lineRule="auto"/>
              <w:ind w:left="141.73228346456688" w:right="156.1417322834646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Власть правил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before="40" w:lineRule="auto"/>
              <w:ind w:left="141.7322834645671" w:right="79.6062992125982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Изменить существующие правила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Получение прямого доступа к изменению правил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Наличие влиятельных союзников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Конкуренция между лицами, принимающими решения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Административные и политические изменения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before="40" w:lineRule="auto"/>
              <w:ind w:left="141.7322834645671" w:firstLine="0"/>
              <w:rPr/>
            </w:pPr>
            <w:r w:rsidDel="00000000" w:rsidR="00000000" w:rsidRPr="00000000">
              <w:rPr>
                <w:rtl w:val="0"/>
              </w:rPr>
              <w:t xml:space="preserve">Несогласие и восстановление согласия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spacing w:before="4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Правила не обязательны для всех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spacing w:before="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Отказ в признании правосубъектности и компетенций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spacing w:before="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Отсутствие ясных правил и процедур по изменению правил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before="40" w:lineRule="auto"/>
              <w:ind w:left="141.7322834645671" w:right="92.8346456692907" w:firstLine="0"/>
              <w:rPr/>
            </w:pPr>
            <w:r w:rsidDel="00000000" w:rsidR="00000000" w:rsidRPr="00000000">
              <w:rPr>
                <w:rtl w:val="0"/>
              </w:rPr>
              <w:t xml:space="preserve">Гражданское влияние: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before="0" w:lineRule="auto"/>
              <w:ind w:left="283.4645669291342" w:right="92.8346456692907" w:hanging="135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прямое лоббирование (переговоры)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before="0" w:lineRule="auto"/>
              <w:ind w:left="283.4645669291342" w:right="92.8346456692907" w:hanging="135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общественные кампании (лоббирование через формирование общественного мнения)</w:t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before="40" w:lineRule="auto"/>
              <w:ind w:left="141.73228346456688" w:right="156.1417322834646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Дискурсивная власть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before="40" w:lineRule="auto"/>
              <w:ind w:left="141.7322834645671" w:right="79.60629921259823" w:firstLine="0"/>
              <w:rPr/>
            </w:pPr>
            <w:r w:rsidDel="00000000" w:rsidR="00000000" w:rsidRPr="00000000">
              <w:rPr>
                <w:rtl w:val="0"/>
              </w:rPr>
              <w:t xml:space="preserve">Быть услышанными и понятыми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Видимость</w:t>
            </w:r>
            <w:r w:rsidDel="00000000" w:rsidR="00000000" w:rsidRPr="00000000">
              <w:rPr>
                <w:rtl w:val="0"/>
              </w:rPr>
              <w:t xml:space="preserve">. Присутствие темы в публичном пространстве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spacing w:before="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Легитимность</w:t>
            </w:r>
            <w:r w:rsidDel="00000000" w:rsidR="00000000" w:rsidRPr="00000000">
              <w:rPr>
                <w:rtl w:val="0"/>
              </w:rPr>
              <w:t xml:space="preserve">. Степень приемлемости или поддержки идей и взглядов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spacing w:before="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Резонанс</w:t>
            </w:r>
            <w:r w:rsidDel="00000000" w:rsidR="00000000" w:rsidRPr="00000000">
              <w:rPr>
                <w:rtl w:val="0"/>
              </w:rPr>
              <w:t xml:space="preserve"> с ценностями и верованиями. Эмоциональный отклик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before="40" w:lineRule="auto"/>
              <w:ind w:left="141.7322834645671" w:firstLine="0"/>
              <w:rPr/>
            </w:pPr>
            <w:r w:rsidDel="00000000" w:rsidR="00000000" w:rsidRPr="00000000">
              <w:rPr>
                <w:rtl w:val="0"/>
              </w:rPr>
              <w:t xml:space="preserve">Изменение порядка коммуникации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before="4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Социальная изоляция в разных её видах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before="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Разрушение каналов коммуникации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before="0" w:lineRule="auto"/>
              <w:ind w:left="283.4645669291342" w:right="65.55118110236265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Отсутствие заинтересованности в коммуникации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before="40" w:lineRule="auto"/>
              <w:ind w:left="141.7322834645671" w:right="92.8346456692907" w:firstLine="0"/>
              <w:rPr/>
            </w:pPr>
            <w:r w:rsidDel="00000000" w:rsidR="00000000" w:rsidRPr="00000000">
              <w:rPr>
                <w:rtl w:val="0"/>
              </w:rPr>
              <w:t xml:space="preserve">Жанры дискурса: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Официальные коммуникации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Реклама и пропаганда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«Экспертный»: описание будущих или возможных событий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Нарративы (фильмы, художественная литература и т. п.)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Новости в СМИ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Межличностное общение (беседы с близкими и далёкими)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Общественные пространства (митинги, перформансы)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before="40" w:lineRule="auto"/>
              <w:ind w:left="141.73228346456688" w:right="156.1417322834646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Власть подражания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before="40" w:lineRule="auto"/>
              <w:ind w:left="141.7322834645671" w:right="79.60629921259823" w:firstLine="0"/>
              <w:rPr/>
            </w:pPr>
            <w:r w:rsidDel="00000000" w:rsidR="00000000" w:rsidRPr="00000000">
              <w:rPr>
                <w:rtl w:val="0"/>
              </w:rPr>
              <w:t xml:space="preserve">Изменить устоявшиеся способы поведения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before="4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Моральные дилеммы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before="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Групповая принадлежность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before="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Фрустрация конкретных потребностей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before="0" w:lineRule="auto"/>
              <w:ind w:left="283.4645669291342" w:hanging="141.732283464567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Появление альтернативы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before="40" w:lineRule="auto"/>
              <w:ind w:left="141.7322834645671" w:right="129.21259842519646" w:firstLine="0"/>
              <w:rPr/>
            </w:pPr>
            <w:r w:rsidDel="00000000" w:rsidR="00000000" w:rsidRPr="00000000">
              <w:rPr>
                <w:rtl w:val="0"/>
              </w:rPr>
              <w:t xml:space="preserve">Демонстрация и поддержка альтернатив–</w:t>
            </w:r>
          </w:p>
          <w:p w:rsidR="00000000" w:rsidDel="00000000" w:rsidP="00000000" w:rsidRDefault="00000000" w:rsidRPr="00000000" w14:paraId="0000002E">
            <w:pPr>
              <w:spacing w:before="40" w:lineRule="auto"/>
              <w:ind w:left="141.7322834645671" w:right="129.21259842519646" w:firstLine="0"/>
              <w:rPr/>
            </w:pPr>
            <w:r w:rsidDel="00000000" w:rsidR="00000000" w:rsidRPr="00000000">
              <w:rPr>
                <w:rtl w:val="0"/>
              </w:rPr>
              <w:t xml:space="preserve">ных способов поведения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before="40" w:lineRule="auto"/>
              <w:ind w:left="141.7322834645671" w:right="65.55118110236265" w:firstLine="0"/>
              <w:rPr/>
            </w:pPr>
            <w:r w:rsidDel="00000000" w:rsidR="00000000" w:rsidRPr="00000000">
              <w:rPr>
                <w:rtl w:val="0"/>
              </w:rPr>
              <w:t xml:space="preserve">Отсутствие пространства для проявления альтернативного поведения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before="40" w:lineRule="auto"/>
              <w:ind w:left="141.7322834645671" w:right="92.8346456692907" w:firstLine="0"/>
              <w:rPr/>
            </w:pPr>
            <w:r w:rsidDel="00000000" w:rsidR="00000000" w:rsidRPr="00000000">
              <w:rPr>
                <w:rtl w:val="0"/>
              </w:rPr>
              <w:t xml:space="preserve">Бунт и моральное сопротивление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Кампании по изменению поведения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before="0" w:lineRule="auto"/>
              <w:ind w:left="283.4645669291342" w:right="92.8346456692907" w:hanging="15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Создание пространств для проявления альтернативного поведения</w:t>
            </w:r>
          </w:p>
        </w:tc>
      </w:tr>
    </w:tbl>
    <w:p w:rsidR="00000000" w:rsidDel="00000000" w:rsidP="00000000" w:rsidRDefault="00000000" w:rsidRPr="00000000" w14:paraId="00000033">
      <w:pPr>
        <w:spacing w:after="140" w:befor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